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EE0E50">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高安市大城镇2025年</w:t>
      </w:r>
      <w:r>
        <w:rPr>
          <w:rFonts w:hint="eastAsia" w:ascii="方正小标宋简体" w:hAnsi="方正小标宋简体" w:eastAsia="方正小标宋简体" w:cs="Times New Roman"/>
          <w:sz w:val="40"/>
          <w:szCs w:val="40"/>
        </w:rPr>
        <w:t>政府信息公开工作年度报告</w:t>
      </w:r>
    </w:p>
    <w:p w14:paraId="299B883B">
      <w:pPr>
        <w:pStyle w:val="7"/>
        <w:pageBreakBefore w:val="0"/>
        <w:kinsoku/>
        <w:wordWrap/>
        <w:overflowPunct/>
        <w:topLinePunct w:val="0"/>
        <w:autoSpaceDE/>
        <w:autoSpaceDN/>
        <w:bidi w:val="0"/>
        <w:adjustRightInd/>
        <w:snapToGrid/>
        <w:spacing w:line="560" w:lineRule="atLeast"/>
        <w:ind w:left="0" w:leftChars="0" w:firstLine="0" w:firstLineChars="0"/>
        <w:textAlignment w:val="auto"/>
        <w:rPr>
          <w:rFonts w:hint="eastAsia" w:ascii="宋体" w:hAnsi="宋体" w:eastAsia="宋体" w:cs="宋体"/>
          <w:i w:val="0"/>
          <w:iCs w:val="0"/>
          <w:caps w:val="0"/>
          <w:color w:val="000000"/>
          <w:spacing w:val="0"/>
          <w:sz w:val="32"/>
          <w:szCs w:val="32"/>
          <w:shd w:val="clear" w:fill="FFFFFF"/>
        </w:rPr>
      </w:pPr>
    </w:p>
    <w:p w14:paraId="7996A226">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总体情况</w:t>
      </w:r>
    </w:p>
    <w:p w14:paraId="5A2CA35F">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eastAsia="zh-CN"/>
        </w:rPr>
        <w:t>202</w:t>
      </w:r>
      <w:r>
        <w:rPr>
          <w:rFonts w:hint="eastAsia" w:ascii="宋体" w:hAnsi="宋体" w:eastAsia="宋体" w:cs="宋体"/>
          <w:i w:val="0"/>
          <w:iCs w:val="0"/>
          <w:caps w:val="0"/>
          <w:color w:val="000000"/>
          <w:spacing w:val="0"/>
          <w:sz w:val="32"/>
          <w:szCs w:val="32"/>
          <w:shd w:val="clear" w:fill="FFFFFF"/>
          <w:lang w:val="en-US" w:eastAsia="zh-CN"/>
        </w:rPr>
        <w:t>5</w:t>
      </w:r>
      <w:r>
        <w:rPr>
          <w:rFonts w:hint="eastAsia" w:ascii="宋体" w:hAnsi="宋体" w:eastAsia="宋体" w:cs="宋体"/>
          <w:i w:val="0"/>
          <w:iCs w:val="0"/>
          <w:caps w:val="0"/>
          <w:color w:val="000000"/>
          <w:spacing w:val="0"/>
          <w:sz w:val="32"/>
          <w:szCs w:val="32"/>
          <w:shd w:val="clear" w:fill="FFFFFF"/>
        </w:rPr>
        <w:t>年大城镇坚持以习近平新时代中国特色社会主义思想为指导，深入贯彻党</w:t>
      </w:r>
      <w:r>
        <w:rPr>
          <w:rFonts w:hint="eastAsia" w:ascii="宋体" w:hAnsi="宋体" w:eastAsia="宋体" w:cs="宋体"/>
          <w:i w:val="0"/>
          <w:iCs w:val="0"/>
          <w:caps w:val="0"/>
          <w:color w:val="000000"/>
          <w:spacing w:val="0"/>
          <w:sz w:val="32"/>
          <w:szCs w:val="32"/>
          <w:shd w:val="clear" w:fill="FFFFFF"/>
          <w:lang w:eastAsia="zh-CN"/>
        </w:rPr>
        <w:t>的</w:t>
      </w:r>
      <w:r>
        <w:rPr>
          <w:rFonts w:hint="eastAsia" w:ascii="宋体" w:hAnsi="宋体" w:eastAsia="宋体" w:cs="宋体"/>
          <w:i w:val="0"/>
          <w:iCs w:val="0"/>
          <w:caps w:val="0"/>
          <w:color w:val="000000"/>
          <w:spacing w:val="0"/>
          <w:sz w:val="32"/>
          <w:szCs w:val="32"/>
          <w:shd w:val="clear" w:fill="FFFFFF"/>
          <w:lang w:val="en-US" w:eastAsia="zh-CN"/>
        </w:rPr>
        <w:t>二十大</w:t>
      </w:r>
      <w:r>
        <w:rPr>
          <w:rFonts w:hint="eastAsia" w:ascii="宋体" w:hAnsi="宋体" w:eastAsia="宋体" w:cs="宋体"/>
          <w:i w:val="0"/>
          <w:iCs w:val="0"/>
          <w:caps w:val="0"/>
          <w:color w:val="000000"/>
          <w:spacing w:val="0"/>
          <w:sz w:val="32"/>
          <w:szCs w:val="32"/>
          <w:shd w:val="clear" w:fill="FFFFFF"/>
        </w:rPr>
        <w:t>精神，</w:t>
      </w:r>
      <w:r>
        <w:rPr>
          <w:rFonts w:hint="eastAsia" w:ascii="宋体" w:hAnsi="宋体" w:eastAsia="宋体" w:cs="宋体"/>
          <w:i w:val="0"/>
          <w:iCs w:val="0"/>
          <w:caps w:val="0"/>
          <w:color w:val="000000"/>
          <w:spacing w:val="0"/>
          <w:sz w:val="32"/>
          <w:szCs w:val="32"/>
          <w:shd w:val="clear" w:fill="FFFFFF"/>
          <w:lang w:eastAsia="zh-CN"/>
        </w:rPr>
        <w:t>根据</w:t>
      </w:r>
      <w:r>
        <w:rPr>
          <w:rFonts w:hint="eastAsia" w:ascii="宋体" w:hAnsi="宋体" w:eastAsia="宋体" w:cs="宋体"/>
          <w:i w:val="0"/>
          <w:iCs w:val="0"/>
          <w:caps w:val="0"/>
          <w:color w:val="000000"/>
          <w:spacing w:val="0"/>
          <w:sz w:val="32"/>
          <w:szCs w:val="32"/>
          <w:shd w:val="clear" w:fill="FFFFFF"/>
        </w:rPr>
        <w:t>《中华人民共和国政府信息公开条例</w:t>
      </w:r>
      <w:r>
        <w:rPr>
          <w:rFonts w:hint="eastAsia" w:ascii="宋体" w:hAnsi="宋体" w:eastAsia="宋体" w:cs="宋体"/>
          <w:i w:val="0"/>
          <w:iCs w:val="0"/>
          <w:caps w:val="0"/>
          <w:color w:val="000000"/>
          <w:spacing w:val="0"/>
          <w:sz w:val="32"/>
          <w:szCs w:val="32"/>
          <w:shd w:val="clear" w:fill="FFFFFF"/>
          <w:lang w:val="en-US" w:eastAsia="zh-CN"/>
        </w:rPr>
        <w:t>》（国务院令第711号）、宜春市政府信息公开工作年报和高安市政府信息公开工作年报等有关安排</w:t>
      </w:r>
      <w:r>
        <w:rPr>
          <w:rFonts w:hint="eastAsia" w:ascii="宋体" w:hAnsi="宋体" w:eastAsia="宋体" w:cs="宋体"/>
          <w:i w:val="0"/>
          <w:iCs w:val="0"/>
          <w:caps w:val="0"/>
          <w:color w:val="000000"/>
          <w:spacing w:val="0"/>
          <w:sz w:val="32"/>
          <w:szCs w:val="32"/>
          <w:shd w:val="clear" w:fill="FFFFFF"/>
        </w:rPr>
        <w:t>要求，</w:t>
      </w:r>
      <w:r>
        <w:rPr>
          <w:rFonts w:hint="eastAsia" w:ascii="宋体" w:hAnsi="宋体" w:eastAsia="宋体" w:cs="宋体"/>
          <w:i w:val="0"/>
          <w:iCs w:val="0"/>
          <w:caps w:val="0"/>
          <w:color w:val="000000"/>
          <w:spacing w:val="0"/>
          <w:sz w:val="32"/>
          <w:szCs w:val="32"/>
          <w:shd w:val="clear" w:fill="FFFFFF"/>
          <w:lang w:val="en-US" w:eastAsia="zh-CN"/>
        </w:rPr>
        <w:t>明确目标任务，</w:t>
      </w:r>
      <w:r>
        <w:rPr>
          <w:rFonts w:hint="eastAsia" w:ascii="宋体" w:hAnsi="宋体" w:eastAsia="宋体" w:cs="宋体"/>
          <w:i w:val="0"/>
          <w:iCs w:val="0"/>
          <w:caps w:val="0"/>
          <w:color w:val="000000"/>
          <w:spacing w:val="0"/>
          <w:sz w:val="32"/>
          <w:szCs w:val="32"/>
          <w:shd w:val="clear" w:fill="FFFFFF"/>
        </w:rPr>
        <w:t>紧紧围绕</w:t>
      </w:r>
      <w:r>
        <w:rPr>
          <w:rFonts w:hint="eastAsia" w:ascii="宋体" w:hAnsi="宋体" w:eastAsia="宋体" w:cs="宋体"/>
          <w:i w:val="0"/>
          <w:iCs w:val="0"/>
          <w:caps w:val="0"/>
          <w:color w:val="000000"/>
          <w:spacing w:val="0"/>
          <w:sz w:val="32"/>
          <w:szCs w:val="32"/>
          <w:shd w:val="clear" w:fill="FFFFFF"/>
          <w:lang w:val="en-US" w:eastAsia="zh-CN"/>
        </w:rPr>
        <w:t>高安</w:t>
      </w:r>
      <w:r>
        <w:rPr>
          <w:rFonts w:hint="eastAsia" w:ascii="宋体" w:hAnsi="宋体" w:eastAsia="宋体" w:cs="宋体"/>
          <w:i w:val="0"/>
          <w:iCs w:val="0"/>
          <w:caps w:val="0"/>
          <w:color w:val="000000"/>
          <w:spacing w:val="0"/>
          <w:sz w:val="32"/>
          <w:szCs w:val="32"/>
          <w:shd w:val="clear" w:fill="FFFFFF"/>
        </w:rPr>
        <w:t>市委、市政府中心工作要求</w:t>
      </w:r>
      <w:r>
        <w:rPr>
          <w:rFonts w:hint="eastAsia" w:ascii="宋体" w:hAnsi="宋体" w:eastAsia="宋体" w:cs="宋体"/>
          <w:i w:val="0"/>
          <w:iCs w:val="0"/>
          <w:caps w:val="0"/>
          <w:color w:val="000000"/>
          <w:spacing w:val="0"/>
          <w:sz w:val="32"/>
          <w:szCs w:val="32"/>
          <w:shd w:val="clear" w:fill="FFFFFF"/>
          <w:lang w:val="en-US" w:eastAsia="zh-CN"/>
        </w:rPr>
        <w:t>及社会群众关注关切，着力提升政府信息公开质量，拓宽政府信息公开渠道，不断增强政府信息公开实效。</w:t>
      </w:r>
    </w:p>
    <w:p w14:paraId="28CC6004">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主动公开</w:t>
      </w:r>
    </w:p>
    <w:p w14:paraId="51C4D49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lang w:eastAsia="zh-CN"/>
        </w:rPr>
        <w:t>202</w:t>
      </w:r>
      <w:r>
        <w:rPr>
          <w:rFonts w:hint="eastAsia" w:ascii="宋体" w:hAnsi="宋体" w:eastAsia="宋体" w:cs="宋体"/>
          <w:i w:val="0"/>
          <w:iCs w:val="0"/>
          <w:caps w:val="0"/>
          <w:color w:val="auto"/>
          <w:spacing w:val="0"/>
          <w:sz w:val="32"/>
          <w:szCs w:val="32"/>
          <w:shd w:val="clear" w:color="auto" w:fill="FFFFFF"/>
          <w:lang w:val="en-US" w:eastAsia="zh-CN"/>
        </w:rPr>
        <w:t>5</w:t>
      </w:r>
      <w:r>
        <w:rPr>
          <w:rFonts w:hint="eastAsia" w:ascii="宋体" w:hAnsi="宋体" w:eastAsia="宋体" w:cs="宋体"/>
          <w:i w:val="0"/>
          <w:iCs w:val="0"/>
          <w:caps w:val="0"/>
          <w:color w:val="auto"/>
          <w:spacing w:val="0"/>
          <w:sz w:val="32"/>
          <w:szCs w:val="32"/>
          <w:shd w:val="clear" w:color="auto" w:fill="FFFFFF"/>
        </w:rPr>
        <w:t>年我镇通过高安市人民政府门户网站主动向社会公开</w:t>
      </w:r>
      <w:r>
        <w:rPr>
          <w:rFonts w:hint="eastAsia" w:ascii="宋体" w:hAnsi="宋体" w:eastAsia="宋体" w:cs="宋体"/>
          <w:i w:val="0"/>
          <w:iCs w:val="0"/>
          <w:caps w:val="0"/>
          <w:color w:val="auto"/>
          <w:spacing w:val="0"/>
          <w:sz w:val="32"/>
          <w:szCs w:val="32"/>
          <w:shd w:val="clear" w:color="auto" w:fill="FFFFFF"/>
          <w:lang w:val="en-US" w:eastAsia="zh-CN"/>
        </w:rPr>
        <w:t>政策类、综合类、结果公开类、监管类、服务类等</w:t>
      </w:r>
      <w:r>
        <w:rPr>
          <w:rFonts w:hint="eastAsia" w:ascii="宋体" w:hAnsi="宋体" w:eastAsia="宋体" w:cs="宋体"/>
          <w:i w:val="0"/>
          <w:iCs w:val="0"/>
          <w:caps w:val="0"/>
          <w:color w:val="auto"/>
          <w:spacing w:val="0"/>
          <w:sz w:val="32"/>
          <w:szCs w:val="32"/>
          <w:shd w:val="clear" w:color="auto" w:fill="FFFFFF"/>
        </w:rPr>
        <w:t>各类信息，公开的政府信息中均未涉及国家秘密、商业秘密和个人隐私。公开内容上，按照“以公开为原则，不公开为例外”的要求，重点公开了我镇的政务动态、惠民便民政策措施等信息。</w:t>
      </w:r>
    </w:p>
    <w:p w14:paraId="34C87B09">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依申请公开</w:t>
      </w:r>
    </w:p>
    <w:p w14:paraId="6495D4B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eastAsia="zh-CN"/>
        </w:rPr>
        <w:t>202</w:t>
      </w:r>
      <w:r>
        <w:rPr>
          <w:rFonts w:hint="eastAsia" w:ascii="宋体" w:hAnsi="宋体" w:eastAsia="宋体" w:cs="宋体"/>
          <w:i w:val="0"/>
          <w:iCs w:val="0"/>
          <w:caps w:val="0"/>
          <w:color w:val="auto"/>
          <w:spacing w:val="0"/>
          <w:sz w:val="32"/>
          <w:szCs w:val="32"/>
          <w:shd w:val="clear" w:color="auto" w:fill="FFFFFF"/>
          <w:lang w:val="en-US" w:eastAsia="zh-CN"/>
        </w:rPr>
        <w:t>5</w:t>
      </w:r>
      <w:r>
        <w:rPr>
          <w:rFonts w:hint="eastAsia" w:ascii="宋体" w:hAnsi="宋体" w:eastAsia="宋体" w:cs="宋体"/>
          <w:i w:val="0"/>
          <w:iCs w:val="0"/>
          <w:caps w:val="0"/>
          <w:color w:val="auto"/>
          <w:spacing w:val="0"/>
          <w:sz w:val="32"/>
          <w:szCs w:val="32"/>
          <w:shd w:val="clear" w:color="auto" w:fill="FFFFFF"/>
        </w:rPr>
        <w:t>年度我镇认真做好依申请公开工作。建立健全政府信息公开申请接收、登记、办理、审核、答复、归档等环节的制度规范。进一步拓展依申请公开受理渠道，更好地发挥互联网和各级行政服务中心作用，在规定时间内为申请人提供便捷服务</w:t>
      </w:r>
      <w:r>
        <w:rPr>
          <w:rFonts w:hint="eastAsia" w:ascii="宋体" w:hAnsi="宋体" w:eastAsia="宋体" w:cs="宋体"/>
          <w:i w:val="0"/>
          <w:iCs w:val="0"/>
          <w:caps w:val="0"/>
          <w:color w:val="auto"/>
          <w:spacing w:val="0"/>
          <w:sz w:val="32"/>
          <w:szCs w:val="32"/>
          <w:shd w:val="clear" w:color="auto" w:fill="FFFFFF"/>
          <w:lang w:eastAsia="zh-CN"/>
        </w:rPr>
        <w:t>。202</w:t>
      </w:r>
      <w:r>
        <w:rPr>
          <w:rFonts w:hint="eastAsia" w:ascii="宋体" w:hAnsi="宋体" w:eastAsia="宋体" w:cs="宋体"/>
          <w:i w:val="0"/>
          <w:iCs w:val="0"/>
          <w:caps w:val="0"/>
          <w:color w:val="auto"/>
          <w:spacing w:val="0"/>
          <w:sz w:val="32"/>
          <w:szCs w:val="32"/>
          <w:shd w:val="clear" w:color="auto" w:fill="FFFFFF"/>
          <w:lang w:val="en-US" w:eastAsia="zh-CN"/>
        </w:rPr>
        <w:t>5</w:t>
      </w:r>
      <w:r>
        <w:rPr>
          <w:rFonts w:hint="eastAsia" w:ascii="宋体" w:hAnsi="宋体" w:eastAsia="宋体" w:cs="宋体"/>
          <w:i w:val="0"/>
          <w:iCs w:val="0"/>
          <w:caps w:val="0"/>
          <w:color w:val="auto"/>
          <w:spacing w:val="0"/>
          <w:sz w:val="32"/>
          <w:szCs w:val="32"/>
          <w:shd w:val="clear" w:color="auto" w:fill="FFFFFF"/>
        </w:rPr>
        <w:t>年度</w:t>
      </w:r>
      <w:r>
        <w:rPr>
          <w:rFonts w:hint="eastAsia" w:ascii="宋体" w:hAnsi="宋体" w:eastAsia="宋体" w:cs="宋体"/>
          <w:i w:val="0"/>
          <w:iCs w:val="0"/>
          <w:caps w:val="0"/>
          <w:color w:val="auto"/>
          <w:spacing w:val="0"/>
          <w:sz w:val="32"/>
          <w:szCs w:val="32"/>
          <w:shd w:val="clear" w:color="auto" w:fill="FFFFFF"/>
          <w:lang w:val="en-US" w:eastAsia="zh-CN"/>
        </w:rPr>
        <w:t>我镇未收到政府信息公开申请。</w:t>
      </w:r>
    </w:p>
    <w:p w14:paraId="1D910E16">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政府信息管理</w:t>
      </w:r>
    </w:p>
    <w:p w14:paraId="1BA758D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b w:val="0"/>
          <w:bCs w:val="0"/>
          <w:i w:val="0"/>
          <w:caps w:val="0"/>
          <w:color w:val="auto"/>
          <w:spacing w:val="0"/>
          <w:sz w:val="32"/>
          <w:szCs w:val="32"/>
          <w:shd w:val="clear" w:color="auto" w:fill="FFFFFF"/>
          <w:lang w:eastAsia="zh-CN"/>
        </w:rPr>
        <w:t>我镇为规范政府信息发布流程，</w:t>
      </w:r>
      <w:r>
        <w:rPr>
          <w:rFonts w:hint="eastAsia" w:ascii="宋体" w:hAnsi="宋体" w:eastAsia="宋体" w:cs="宋体"/>
          <w:i w:val="0"/>
          <w:iCs w:val="0"/>
          <w:caps w:val="0"/>
          <w:color w:val="auto"/>
          <w:spacing w:val="0"/>
          <w:sz w:val="32"/>
          <w:szCs w:val="32"/>
          <w:shd w:val="clear" w:color="auto" w:fill="FFFFFF"/>
        </w:rPr>
        <w:t>加强信息发布前审查，强化网站信息安全管理</w:t>
      </w:r>
      <w:r>
        <w:rPr>
          <w:rFonts w:hint="eastAsia" w:ascii="宋体" w:hAnsi="宋体" w:eastAsia="宋体" w:cs="宋体"/>
          <w:i w:val="0"/>
          <w:iCs w:val="0"/>
          <w:caps w:val="0"/>
          <w:color w:val="auto"/>
          <w:spacing w:val="0"/>
          <w:sz w:val="32"/>
          <w:szCs w:val="32"/>
          <w:shd w:val="clear" w:color="auto" w:fill="FFFFFF"/>
          <w:lang w:eastAsia="zh-CN"/>
        </w:rPr>
        <w:t>，特制定如下措施：一方面设立专人专岗，特派</w:t>
      </w:r>
      <w:r>
        <w:rPr>
          <w:rFonts w:hint="eastAsia" w:ascii="宋体" w:hAnsi="宋体" w:eastAsia="宋体" w:cs="宋体"/>
          <w:i w:val="0"/>
          <w:iCs w:val="0"/>
          <w:caps w:val="0"/>
          <w:color w:val="auto"/>
          <w:spacing w:val="0"/>
          <w:sz w:val="32"/>
          <w:szCs w:val="32"/>
          <w:shd w:val="clear" w:color="auto" w:fill="FFFFFF"/>
          <w:lang w:val="en-US" w:eastAsia="zh-CN"/>
        </w:rPr>
        <w:t>三</w:t>
      </w:r>
      <w:r>
        <w:rPr>
          <w:rFonts w:hint="eastAsia" w:ascii="宋体" w:hAnsi="宋体" w:eastAsia="宋体" w:cs="宋体"/>
          <w:i w:val="0"/>
          <w:iCs w:val="0"/>
          <w:caps w:val="0"/>
          <w:color w:val="auto"/>
          <w:spacing w:val="0"/>
          <w:sz w:val="32"/>
          <w:szCs w:val="32"/>
          <w:shd w:val="clear" w:color="auto" w:fill="FFFFFF"/>
          <w:lang w:eastAsia="zh-CN"/>
        </w:rPr>
        <w:t>名干事负责政务公开撰写、审核、发布。另一方面规范信息发布流程，三名</w:t>
      </w:r>
      <w:r>
        <w:rPr>
          <w:rFonts w:hint="eastAsia" w:ascii="宋体" w:hAnsi="宋体" w:eastAsia="宋体" w:cs="宋体"/>
          <w:i w:val="0"/>
          <w:iCs w:val="0"/>
          <w:caps w:val="0"/>
          <w:color w:val="auto"/>
          <w:spacing w:val="0"/>
          <w:sz w:val="32"/>
          <w:szCs w:val="32"/>
          <w:shd w:val="clear" w:color="auto" w:fill="FFFFFF"/>
          <w:lang w:val="en-US" w:eastAsia="zh-CN"/>
        </w:rPr>
        <w:t>干事</w:t>
      </w:r>
      <w:r>
        <w:rPr>
          <w:rFonts w:hint="eastAsia" w:ascii="宋体" w:hAnsi="宋体" w:eastAsia="宋体" w:cs="宋体"/>
          <w:i w:val="0"/>
          <w:iCs w:val="0"/>
          <w:caps w:val="0"/>
          <w:color w:val="auto"/>
          <w:spacing w:val="0"/>
          <w:sz w:val="32"/>
          <w:szCs w:val="32"/>
          <w:shd w:val="clear" w:color="auto" w:fill="FFFFFF"/>
          <w:lang w:eastAsia="zh-CN"/>
        </w:rPr>
        <w:t>分别负责政务公开经办、校稿及审核，确保发布的信息准确无误。我镇</w:t>
      </w:r>
      <w:r>
        <w:rPr>
          <w:rFonts w:hint="eastAsia" w:ascii="宋体" w:hAnsi="宋体" w:eastAsia="宋体" w:cs="宋体"/>
          <w:i w:val="0"/>
          <w:iCs w:val="0"/>
          <w:caps w:val="0"/>
          <w:color w:val="auto"/>
          <w:spacing w:val="0"/>
          <w:sz w:val="32"/>
          <w:szCs w:val="32"/>
          <w:shd w:val="clear" w:color="auto" w:fill="FFFFFF"/>
          <w:lang w:val="en-US" w:eastAsia="zh-CN"/>
        </w:rPr>
        <w:t>本着“谁报送、谁负责，谁承诺、谁办理”的原则，认真做好信息公开审核，促进信息公开工作走上制度化、规范化的轨道。</w:t>
      </w:r>
    </w:p>
    <w:p w14:paraId="5365089F">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平台建设</w:t>
      </w:r>
    </w:p>
    <w:p w14:paraId="299C2F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rPr>
        <w:t>为加强政府信息资源的规范化、标准化、信息化管理，我镇依托政府门户网站为第一平台作用，同时还通过传统方法和网络技术相结合的方式进行政务公开，利用</w:t>
      </w:r>
      <w:r>
        <w:rPr>
          <w:rFonts w:hint="eastAsia" w:ascii="宋体" w:hAnsi="宋体" w:eastAsia="宋体" w:cs="宋体"/>
          <w:i w:val="0"/>
          <w:iCs w:val="0"/>
          <w:caps w:val="0"/>
          <w:color w:val="auto"/>
          <w:spacing w:val="0"/>
          <w:sz w:val="32"/>
          <w:szCs w:val="32"/>
          <w:shd w:val="clear" w:color="auto" w:fill="FFFFFF"/>
          <w:lang w:val="en-US" w:eastAsia="zh-CN"/>
        </w:rPr>
        <w:t>镇村</w:t>
      </w:r>
      <w:r>
        <w:rPr>
          <w:rFonts w:hint="eastAsia" w:ascii="宋体" w:hAnsi="宋体" w:eastAsia="宋体" w:cs="宋体"/>
          <w:i w:val="0"/>
          <w:iCs w:val="0"/>
          <w:caps w:val="0"/>
          <w:color w:val="auto"/>
          <w:spacing w:val="0"/>
          <w:sz w:val="32"/>
          <w:szCs w:val="32"/>
          <w:shd w:val="clear" w:color="auto" w:fill="FFFFFF"/>
        </w:rPr>
        <w:t>信息公示栏、村民微信群等方式让群众能够随时了解我镇的工作动态。</w:t>
      </w:r>
      <w:r>
        <w:rPr>
          <w:rFonts w:hint="eastAsia" w:ascii="宋体" w:hAnsi="宋体" w:eastAsia="宋体" w:cs="宋体"/>
          <w:i w:val="0"/>
          <w:iCs w:val="0"/>
          <w:caps w:val="0"/>
          <w:color w:val="auto"/>
          <w:spacing w:val="0"/>
          <w:sz w:val="32"/>
          <w:szCs w:val="32"/>
          <w:shd w:val="clear" w:color="auto" w:fill="FFFFFF"/>
          <w:lang w:eastAsia="zh-CN"/>
        </w:rPr>
        <w:t>我镇</w:t>
      </w:r>
      <w:r>
        <w:rPr>
          <w:rFonts w:hint="eastAsia" w:ascii="宋体" w:hAnsi="宋体" w:eastAsia="宋体" w:cs="宋体"/>
          <w:i w:val="0"/>
          <w:iCs w:val="0"/>
          <w:caps w:val="0"/>
          <w:color w:val="auto"/>
          <w:spacing w:val="0"/>
          <w:sz w:val="32"/>
          <w:szCs w:val="32"/>
          <w:shd w:val="clear" w:color="auto" w:fill="FFFFFF"/>
          <w:lang w:val="en-US" w:eastAsia="zh-CN"/>
        </w:rPr>
        <w:t>2025年下半年通过</w:t>
      </w:r>
      <w:r>
        <w:rPr>
          <w:rFonts w:hint="eastAsia" w:ascii="宋体" w:hAnsi="宋体" w:eastAsia="宋体" w:cs="宋体"/>
          <w:i w:val="0"/>
          <w:iCs w:val="0"/>
          <w:caps w:val="0"/>
          <w:color w:val="auto"/>
          <w:spacing w:val="0"/>
          <w:sz w:val="32"/>
          <w:szCs w:val="32"/>
          <w:shd w:val="clear" w:color="auto" w:fill="FFFFFF"/>
          <w:lang w:eastAsia="zh-CN"/>
        </w:rPr>
        <w:t>开展“固定开放月”活动，</w:t>
      </w:r>
      <w:r>
        <w:rPr>
          <w:rFonts w:hint="eastAsia" w:asciiTheme="minorEastAsia" w:hAnsiTheme="minorEastAsia" w:eastAsiaTheme="minorEastAsia" w:cstheme="minorEastAsia"/>
          <w:i w:val="0"/>
          <w:iCs w:val="0"/>
          <w:caps w:val="0"/>
          <w:color w:val="000000"/>
          <w:spacing w:val="0"/>
          <w:sz w:val="32"/>
          <w:szCs w:val="32"/>
          <w:shd w:val="clear" w:fill="FFFFFF"/>
          <w:lang w:val="en-US" w:eastAsia="zh-CN"/>
        </w:rPr>
        <w:t>不断提升群众对政府工作的知晓度、参与度和满意度</w:t>
      </w:r>
      <w:r>
        <w:rPr>
          <w:rFonts w:hint="eastAsia" w:asciiTheme="minorEastAsia" w:hAnsiTheme="minorEastAsia" w:eastAsiaTheme="minorEastAsia" w:cstheme="minorEastAsia"/>
          <w:i w:val="0"/>
          <w:iCs w:val="0"/>
          <w:caps w:val="0"/>
          <w:color w:val="000000"/>
          <w:spacing w:val="0"/>
          <w:sz w:val="32"/>
          <w:szCs w:val="32"/>
          <w:shd w:val="clear" w:fill="FFFFFF"/>
        </w:rPr>
        <w:t>，全面提升政务公开质量和实效</w:t>
      </w:r>
      <w:r>
        <w:rPr>
          <w:rFonts w:hint="eastAsia" w:asciiTheme="minorEastAsia" w:hAnsiTheme="minorEastAsia" w:cstheme="minorEastAsia"/>
          <w:i w:val="0"/>
          <w:iCs w:val="0"/>
          <w:caps w:val="0"/>
          <w:color w:val="000000"/>
          <w:spacing w:val="0"/>
          <w:sz w:val="32"/>
          <w:szCs w:val="32"/>
          <w:shd w:val="clear" w:fill="FFFFFF"/>
          <w:lang w:eastAsia="zh-CN"/>
        </w:rPr>
        <w:t>。</w:t>
      </w:r>
      <w:r>
        <w:rPr>
          <w:rFonts w:hint="eastAsia" w:ascii="宋体" w:hAnsi="宋体" w:eastAsia="宋体" w:cs="宋体"/>
          <w:i w:val="0"/>
          <w:iCs w:val="0"/>
          <w:caps w:val="0"/>
          <w:color w:val="auto"/>
          <w:spacing w:val="0"/>
          <w:sz w:val="32"/>
          <w:szCs w:val="32"/>
          <w:shd w:val="clear" w:color="auto" w:fill="FFFFFF"/>
        </w:rPr>
        <w:t>坚持“以公开为原则，不公开为例外”的要求，不断拓展信息公开渠道，积极推进公开平台建设，不断加强新媒体矩阵建设，优化完善政府门户网站。</w:t>
      </w:r>
    </w:p>
    <w:p w14:paraId="28699A3D">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监督保障</w:t>
      </w:r>
    </w:p>
    <w:p w14:paraId="7B05DE4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lang w:val="en-US" w:eastAsia="zh-CN"/>
        </w:rPr>
        <w:t>2025</w:t>
      </w:r>
      <w:r>
        <w:rPr>
          <w:rFonts w:hint="eastAsia" w:ascii="宋体" w:hAnsi="宋体" w:eastAsia="宋体" w:cs="宋体"/>
          <w:i w:val="0"/>
          <w:iCs w:val="0"/>
          <w:caps w:val="0"/>
          <w:color w:val="auto"/>
          <w:spacing w:val="0"/>
          <w:sz w:val="32"/>
          <w:szCs w:val="32"/>
          <w:shd w:val="clear" w:color="auto" w:fill="FFFFFF"/>
        </w:rPr>
        <w:t>年我镇严格落实政府信息公开保密审查制度，确保政府信息公开真实、及时、有效、安全，上级部门反映的问题，我镇都能做到及时整改、举一反三、不断改进。</w:t>
      </w:r>
    </w:p>
    <w:p w14:paraId="0490DC4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5E90B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4A1EE3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000000"/>
                <w:kern w:val="0"/>
                <w:sz w:val="32"/>
                <w:szCs w:val="32"/>
                <w:lang w:val="en-US" w:eastAsia="zh-CN" w:bidi="ar"/>
              </w:rPr>
              <w:t>第二十条第（一）项</w:t>
            </w:r>
          </w:p>
        </w:tc>
      </w:tr>
      <w:tr w14:paraId="26219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2455" w:type="dxa"/>
            <w:tcBorders>
              <w:tl2br w:val="nil"/>
              <w:tr2bl w:val="nil"/>
            </w:tcBorders>
            <w:shd w:val="clear" w:color="auto" w:fill="auto"/>
            <w:tcMar>
              <w:left w:w="57" w:type="dxa"/>
              <w:right w:w="57" w:type="dxa"/>
            </w:tcMar>
            <w:vAlign w:val="center"/>
          </w:tcPr>
          <w:p w14:paraId="0894C4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l2br w:val="nil"/>
              <w:tr2bl w:val="nil"/>
            </w:tcBorders>
            <w:shd w:val="clear" w:color="auto" w:fill="auto"/>
            <w:tcMar>
              <w:left w:w="57" w:type="dxa"/>
              <w:right w:w="57" w:type="dxa"/>
            </w:tcMar>
            <w:vAlign w:val="center"/>
          </w:tcPr>
          <w:p w14:paraId="4E3AE3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l2br w:val="nil"/>
              <w:tr2bl w:val="nil"/>
            </w:tcBorders>
            <w:shd w:val="clear" w:color="auto" w:fill="auto"/>
            <w:tcMar>
              <w:left w:w="57" w:type="dxa"/>
              <w:right w:w="57" w:type="dxa"/>
            </w:tcMar>
            <w:vAlign w:val="center"/>
          </w:tcPr>
          <w:p w14:paraId="55C1B2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l2br w:val="nil"/>
              <w:tr2bl w:val="nil"/>
            </w:tcBorders>
            <w:shd w:val="clear" w:color="auto" w:fill="auto"/>
            <w:tcMar>
              <w:left w:w="57" w:type="dxa"/>
              <w:right w:w="57" w:type="dxa"/>
            </w:tcMar>
            <w:vAlign w:val="center"/>
          </w:tcPr>
          <w:p w14:paraId="6B1A3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353A8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4A20F1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l2br w:val="nil"/>
              <w:tr2bl w:val="nil"/>
            </w:tcBorders>
            <w:shd w:val="clear" w:color="auto" w:fill="auto"/>
            <w:tcMar>
              <w:left w:w="57" w:type="dxa"/>
              <w:right w:w="57" w:type="dxa"/>
            </w:tcMar>
            <w:vAlign w:val="center"/>
          </w:tcPr>
          <w:p w14:paraId="1441FD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l2br w:val="nil"/>
              <w:tr2bl w:val="nil"/>
            </w:tcBorders>
            <w:shd w:val="clear" w:color="auto" w:fill="auto"/>
            <w:tcMar>
              <w:left w:w="57" w:type="dxa"/>
              <w:right w:w="57" w:type="dxa"/>
            </w:tcMar>
            <w:vAlign w:val="center"/>
          </w:tcPr>
          <w:p w14:paraId="1DCF98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l2br w:val="nil"/>
              <w:tr2bl w:val="nil"/>
            </w:tcBorders>
            <w:shd w:val="clear" w:color="auto" w:fill="auto"/>
            <w:tcMar>
              <w:left w:w="57" w:type="dxa"/>
              <w:right w:w="57" w:type="dxa"/>
            </w:tcMar>
            <w:vAlign w:val="center"/>
          </w:tcPr>
          <w:p w14:paraId="3E18E9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528CD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21526E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l2br w:val="nil"/>
              <w:tr2bl w:val="nil"/>
            </w:tcBorders>
            <w:shd w:val="clear" w:color="auto" w:fill="auto"/>
            <w:tcMar>
              <w:left w:w="57" w:type="dxa"/>
              <w:right w:w="57" w:type="dxa"/>
            </w:tcMar>
            <w:vAlign w:val="center"/>
          </w:tcPr>
          <w:p w14:paraId="091A44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l2br w:val="nil"/>
              <w:tr2bl w:val="nil"/>
            </w:tcBorders>
            <w:shd w:val="clear" w:color="auto" w:fill="auto"/>
            <w:tcMar>
              <w:left w:w="57" w:type="dxa"/>
              <w:right w:w="57" w:type="dxa"/>
            </w:tcMar>
            <w:vAlign w:val="center"/>
          </w:tcPr>
          <w:p w14:paraId="4AEAD8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l2br w:val="nil"/>
              <w:tr2bl w:val="nil"/>
            </w:tcBorders>
            <w:shd w:val="clear" w:color="auto" w:fill="auto"/>
            <w:tcMar>
              <w:left w:w="57" w:type="dxa"/>
              <w:right w:w="57" w:type="dxa"/>
            </w:tcMar>
            <w:vAlign w:val="center"/>
          </w:tcPr>
          <w:p w14:paraId="116E56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14:paraId="50500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2841BC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1602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3854A7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14:paraId="04C789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6714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15F5EA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l2br w:val="nil"/>
              <w:tr2bl w:val="nil"/>
            </w:tcBorders>
            <w:shd w:val="clear" w:color="auto" w:fill="auto"/>
            <w:tcMar>
              <w:left w:w="57" w:type="dxa"/>
              <w:right w:w="57" w:type="dxa"/>
            </w:tcMar>
            <w:vAlign w:val="center"/>
          </w:tcPr>
          <w:p w14:paraId="6AF59B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val="0"/>
                <w:bCs w:val="0"/>
                <w:kern w:val="0"/>
                <w:sz w:val="32"/>
                <w:szCs w:val="32"/>
                <w:lang w:val="en-US" w:eastAsia="zh-CN" w:bidi="ar"/>
              </w:rPr>
              <w:t>0</w:t>
            </w:r>
          </w:p>
        </w:tc>
      </w:tr>
      <w:tr w14:paraId="41C3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08D644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3E257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5F7CB4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14:paraId="7513EE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53945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42E9C6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l2br w:val="nil"/>
              <w:tr2bl w:val="nil"/>
            </w:tcBorders>
            <w:shd w:val="clear" w:color="auto" w:fill="auto"/>
            <w:tcMar>
              <w:left w:w="57" w:type="dxa"/>
              <w:right w:w="57" w:type="dxa"/>
            </w:tcMar>
            <w:vAlign w:val="center"/>
          </w:tcPr>
          <w:p w14:paraId="7281EA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14:paraId="144E9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28901A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l2br w:val="nil"/>
              <w:tr2bl w:val="nil"/>
            </w:tcBorders>
            <w:shd w:val="clear" w:color="auto" w:fill="auto"/>
            <w:tcMar>
              <w:left w:w="57" w:type="dxa"/>
              <w:right w:w="57" w:type="dxa"/>
            </w:tcMar>
            <w:vAlign w:val="center"/>
          </w:tcPr>
          <w:p w14:paraId="130B77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14:paraId="4A28D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24413C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6A881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172CFC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14:paraId="00AC11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44F5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jc w:val="center"/>
        </w:trPr>
        <w:tc>
          <w:tcPr>
            <w:tcW w:w="2455" w:type="dxa"/>
            <w:tcBorders>
              <w:tl2br w:val="nil"/>
              <w:tr2bl w:val="nil"/>
            </w:tcBorders>
            <w:shd w:val="clear" w:color="auto" w:fill="auto"/>
            <w:tcMar>
              <w:left w:w="57" w:type="dxa"/>
              <w:right w:w="57" w:type="dxa"/>
            </w:tcMar>
            <w:vAlign w:val="center"/>
          </w:tcPr>
          <w:p w14:paraId="1BB8D9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l2br w:val="nil"/>
              <w:tr2bl w:val="nil"/>
            </w:tcBorders>
            <w:shd w:val="clear" w:color="auto" w:fill="auto"/>
            <w:tcMar>
              <w:left w:w="57" w:type="dxa"/>
              <w:right w:w="57" w:type="dxa"/>
            </w:tcMar>
            <w:vAlign w:val="center"/>
          </w:tcPr>
          <w:p w14:paraId="49AE42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14:paraId="44A5B9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466"/>
        <w:gridCol w:w="411"/>
        <w:gridCol w:w="438"/>
        <w:gridCol w:w="450"/>
        <w:gridCol w:w="471"/>
      </w:tblGrid>
      <w:tr w14:paraId="117542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7C745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9864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5D7A55C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6600" w:type="dxa"/>
            <w:gridSpan w:val="3"/>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40535D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49AA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4EBF20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73D95C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6F3E9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3FB110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BECB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946C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5FCF8F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45CD58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689B4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1E68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2CCF8F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3B9A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3EB682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8708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A5C2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9F43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3C0D4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5052F9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36D5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AF04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2D95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E1E4F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BFE2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8F67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727B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0F4D5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14:paraId="75C3A8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8E04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EBCF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7A1B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2CA5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60DC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25EA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6381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ED71F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14:paraId="678976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6C0F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4C89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1859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7639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9ED8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ACC3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1497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B8E4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47F6A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5CF00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BCB43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C6C1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1B63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84E4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1A28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2F54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802C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F26C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CCFD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764B21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164B1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0F60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AD2FF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A4DE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13D8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9CC7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ABA6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704C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D9A7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0BEE7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27D856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68A93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30D04E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278C0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3693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3CCF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D10C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EE13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077CE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C577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D7D39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E6D50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703D2D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83C6C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B5D6C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CB34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928E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FC55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847C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AC7D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9272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F92E8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23AAC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98A31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8D352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FEA53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A729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0CF6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1C48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B61A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62F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60AA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7DD05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F3B68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2558B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013CD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6CD41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3DD3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0E82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3A8C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A3FB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195B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A117F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F8176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4B5A03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468C7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8447E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A4854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D641A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57EA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741A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11BC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1BCBA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30B68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0E5C5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92E59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4F90BA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0ADDD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8A726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E284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1B9A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9747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18EA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A711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ECB7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7ABA7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A7950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C7C97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2DB39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3CA4E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C770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9C75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897E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9314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1386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344C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9AF20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492491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08A4D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1E2A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A811D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A1C7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7D31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989D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C53C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E9A0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5824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8AC38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4FB3159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DC62B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79132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A4485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A967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94B4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DA3E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CC7EB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6283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FD0C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43CDB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12D343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AA8DA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0362F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B9402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E95B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673A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F324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757B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1147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F36A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B7FCD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7545A4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EFBD5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965BC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B2A76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F53C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7B646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826F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08382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1A8D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8A6E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8472E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2BFB83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90099D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C0B97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E028B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346D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776C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F86E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C478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487B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D84E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3479F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0B03C8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1D140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CA8B2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56A35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0EB3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2401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812C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3DA1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252B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C4BC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B8C5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047DF1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649E6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A7BA8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195E8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C053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92F7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558D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C4D4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CE7E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26F1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42BA2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29907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1A02F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A2071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2CC2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18AB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8175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73A6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9F83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4FCDD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55CD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6B92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6B3F58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67C5D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D6AA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6220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B3E2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040F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A3F1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098B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42AB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DB74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7B4DE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14:paraId="2898A1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14:paraId="38D857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148D0F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22483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7D6BF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F89F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DC8F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E1F0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B35A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AC5E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186F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A32C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B74E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180D93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9AAA7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17FF4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FA4F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3740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1F97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20AB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AFDBC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1261C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1E97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2C775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207BC4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99DB3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C2F7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0107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4E83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3D1C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9354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5A4A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BB97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AE541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E79BB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6084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3887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BE71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829E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C73A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4706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8727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C087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kern w:val="0"/>
                <w:sz w:val="32"/>
                <w:szCs w:val="32"/>
                <w:lang w:val="en-US" w:eastAsia="zh-CN" w:bidi="ar"/>
              </w:rPr>
              <w:t>0</w:t>
            </w:r>
          </w:p>
        </w:tc>
      </w:tr>
    </w:tbl>
    <w:p w14:paraId="26ECD0FF">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6E9C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5" w:type="dxa"/>
            <w:gridSpan w:val="5"/>
            <w:shd w:val="clear" w:color="auto" w:fill="auto"/>
            <w:tcMar>
              <w:left w:w="108" w:type="dxa"/>
              <w:right w:w="108" w:type="dxa"/>
            </w:tcMar>
            <w:vAlign w:val="center"/>
          </w:tcPr>
          <w:p w14:paraId="29D0CD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shd w:val="clear" w:color="auto" w:fill="auto"/>
            <w:tcMar>
              <w:left w:w="108" w:type="dxa"/>
              <w:right w:w="108" w:type="dxa"/>
            </w:tcMar>
            <w:vAlign w:val="center"/>
          </w:tcPr>
          <w:p w14:paraId="1AD2EA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7CDC0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9" w:type="dxa"/>
            <w:vMerge w:val="restart"/>
            <w:shd w:val="clear" w:color="auto" w:fill="auto"/>
            <w:tcMar>
              <w:left w:w="108" w:type="dxa"/>
              <w:right w:w="108" w:type="dxa"/>
            </w:tcMar>
            <w:vAlign w:val="center"/>
          </w:tcPr>
          <w:p w14:paraId="749E2E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shd w:val="clear" w:color="auto" w:fill="auto"/>
            <w:tcMar>
              <w:left w:w="108" w:type="dxa"/>
              <w:right w:w="108" w:type="dxa"/>
            </w:tcMar>
            <w:vAlign w:val="center"/>
          </w:tcPr>
          <w:p w14:paraId="630AB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shd w:val="clear" w:color="auto" w:fill="auto"/>
            <w:tcMar>
              <w:left w:w="108" w:type="dxa"/>
              <w:right w:w="108" w:type="dxa"/>
            </w:tcMar>
            <w:vAlign w:val="center"/>
          </w:tcPr>
          <w:p w14:paraId="059E6D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shd w:val="clear" w:color="auto" w:fill="auto"/>
            <w:tcMar>
              <w:left w:w="108" w:type="dxa"/>
              <w:right w:w="108" w:type="dxa"/>
            </w:tcMar>
            <w:vAlign w:val="center"/>
          </w:tcPr>
          <w:p w14:paraId="4F4DF4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shd w:val="clear" w:color="auto" w:fill="auto"/>
            <w:tcMar>
              <w:left w:w="108" w:type="dxa"/>
              <w:right w:w="108" w:type="dxa"/>
            </w:tcMar>
            <w:vAlign w:val="center"/>
          </w:tcPr>
          <w:p w14:paraId="18A461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总计</w:t>
            </w:r>
          </w:p>
        </w:tc>
        <w:tc>
          <w:tcPr>
            <w:tcW w:w="3248" w:type="dxa"/>
            <w:gridSpan w:val="5"/>
            <w:shd w:val="clear" w:color="auto" w:fill="auto"/>
            <w:tcMar>
              <w:left w:w="108" w:type="dxa"/>
              <w:right w:w="108" w:type="dxa"/>
            </w:tcMar>
            <w:vAlign w:val="center"/>
          </w:tcPr>
          <w:p w14:paraId="2F7462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shd w:val="clear" w:color="auto" w:fill="auto"/>
            <w:tcMar>
              <w:left w:w="108" w:type="dxa"/>
              <w:right w:w="108" w:type="dxa"/>
            </w:tcMar>
            <w:vAlign w:val="center"/>
          </w:tcPr>
          <w:p w14:paraId="6DBCE5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复议后起诉</w:t>
            </w:r>
          </w:p>
        </w:tc>
      </w:tr>
      <w:tr w14:paraId="501B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9" w:type="dxa"/>
            <w:vMerge w:val="continue"/>
            <w:shd w:val="clear" w:color="auto" w:fill="auto"/>
            <w:tcMar>
              <w:left w:w="108" w:type="dxa"/>
              <w:right w:w="108" w:type="dxa"/>
            </w:tcMar>
            <w:vAlign w:val="center"/>
          </w:tcPr>
          <w:p w14:paraId="4F32D1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28ABE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73C3BB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241820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703B69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shd w:val="clear" w:color="auto" w:fill="auto"/>
            <w:tcMar>
              <w:left w:w="108" w:type="dxa"/>
              <w:right w:w="108" w:type="dxa"/>
            </w:tcMar>
            <w:vAlign w:val="center"/>
          </w:tcPr>
          <w:p w14:paraId="142BF2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shd w:val="clear" w:color="auto" w:fill="auto"/>
            <w:tcMar>
              <w:left w:w="108" w:type="dxa"/>
              <w:right w:w="108" w:type="dxa"/>
            </w:tcMar>
            <w:vAlign w:val="center"/>
          </w:tcPr>
          <w:p w14:paraId="5A5E2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shd w:val="clear" w:color="auto" w:fill="auto"/>
            <w:tcMar>
              <w:left w:w="108" w:type="dxa"/>
              <w:right w:w="108" w:type="dxa"/>
            </w:tcMar>
            <w:vAlign w:val="center"/>
          </w:tcPr>
          <w:p w14:paraId="268E50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shd w:val="clear" w:color="auto" w:fill="auto"/>
            <w:tcMar>
              <w:left w:w="108" w:type="dxa"/>
              <w:right w:w="108" w:type="dxa"/>
            </w:tcMar>
            <w:vAlign w:val="center"/>
          </w:tcPr>
          <w:p w14:paraId="4DDB97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shd w:val="clear" w:color="auto" w:fill="auto"/>
            <w:tcMar>
              <w:left w:w="108" w:type="dxa"/>
              <w:right w:w="108" w:type="dxa"/>
            </w:tcMar>
            <w:vAlign w:val="center"/>
          </w:tcPr>
          <w:p w14:paraId="29B58B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总计</w:t>
            </w:r>
          </w:p>
        </w:tc>
        <w:tc>
          <w:tcPr>
            <w:tcW w:w="651" w:type="dxa"/>
            <w:shd w:val="clear" w:color="auto" w:fill="auto"/>
            <w:tcMar>
              <w:left w:w="108" w:type="dxa"/>
              <w:right w:w="108" w:type="dxa"/>
            </w:tcMar>
            <w:vAlign w:val="center"/>
          </w:tcPr>
          <w:p w14:paraId="290F56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shd w:val="clear" w:color="auto" w:fill="auto"/>
            <w:tcMar>
              <w:left w:w="108" w:type="dxa"/>
              <w:right w:w="108" w:type="dxa"/>
            </w:tcMar>
            <w:vAlign w:val="center"/>
          </w:tcPr>
          <w:p w14:paraId="51A244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shd w:val="clear" w:color="auto" w:fill="auto"/>
            <w:tcMar>
              <w:left w:w="108" w:type="dxa"/>
              <w:right w:w="108" w:type="dxa"/>
            </w:tcMar>
            <w:vAlign w:val="center"/>
          </w:tcPr>
          <w:p w14:paraId="230CF3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1" w:type="dxa"/>
            <w:shd w:val="clear" w:color="auto" w:fill="auto"/>
            <w:tcMar>
              <w:left w:w="108" w:type="dxa"/>
              <w:right w:w="108" w:type="dxa"/>
            </w:tcMar>
            <w:vAlign w:val="center"/>
          </w:tcPr>
          <w:p w14:paraId="0AFD30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shd w:val="clear" w:color="auto" w:fill="auto"/>
            <w:tcMar>
              <w:left w:w="108" w:type="dxa"/>
              <w:right w:w="108" w:type="dxa"/>
            </w:tcMar>
            <w:vAlign w:val="center"/>
          </w:tcPr>
          <w:p w14:paraId="757DF9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总计</w:t>
            </w:r>
          </w:p>
        </w:tc>
      </w:tr>
      <w:tr w14:paraId="3B2EC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649" w:type="dxa"/>
            <w:shd w:val="clear" w:color="auto" w:fill="auto"/>
            <w:tcMar>
              <w:left w:w="108" w:type="dxa"/>
              <w:right w:w="108" w:type="dxa"/>
            </w:tcMar>
            <w:vAlign w:val="center"/>
          </w:tcPr>
          <w:p w14:paraId="5207C7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437240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52954C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7BD49D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1EDCC1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789A81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71C313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shd w:val="clear" w:color="auto" w:fill="auto"/>
            <w:tcMar>
              <w:left w:w="108" w:type="dxa"/>
              <w:right w:w="108" w:type="dxa"/>
            </w:tcMar>
            <w:vAlign w:val="center"/>
          </w:tcPr>
          <w:p w14:paraId="36A8F8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shd w:val="clear" w:color="auto" w:fill="auto"/>
            <w:tcMar>
              <w:left w:w="108" w:type="dxa"/>
              <w:right w:w="108" w:type="dxa"/>
            </w:tcMar>
            <w:vAlign w:val="center"/>
          </w:tcPr>
          <w:p w14:paraId="090FFE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shd w:val="clear" w:color="auto" w:fill="auto"/>
            <w:tcMar>
              <w:left w:w="108" w:type="dxa"/>
              <w:right w:w="108" w:type="dxa"/>
            </w:tcMar>
            <w:vAlign w:val="center"/>
          </w:tcPr>
          <w:p w14:paraId="06A7E8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4307B5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583276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452AFD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424CDF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7C7D46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bl>
    <w:p w14:paraId="61A2916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31CDB01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2025年我镇在政府信息公开工作上虽然取得了一定成效，但离市委、市政府和人民群众的要求还有一定的差距。</w:t>
      </w:r>
    </w:p>
    <w:p w14:paraId="4BE9E2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主要存在问题：一是政务公开的质量不高，内容深度不足，不够规范，对政务公开的重点事项工作流程把握不够精准；二是平台建设理解不够透彻，公开信息实效无法对应栏目设置周期，造成部分信息公开模块不及时；三是没有与群众有效互动，群众对信息公开的关注度低，没有收到反馈信息。</w:t>
      </w:r>
    </w:p>
    <w:p w14:paraId="5ED0F36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改进做法有：一是制定信息公开工作计划，优化规范工作流程，加强信息公开内容审核，提高公开信息质量，保证公开信息的完整性和准确性；二是系统专业学习，</w:t>
      </w:r>
      <w:bookmarkStart w:id="0" w:name="_GoBack"/>
      <w:bookmarkEnd w:id="0"/>
      <w:r>
        <w:rPr>
          <w:rFonts w:hint="eastAsia" w:ascii="宋体" w:hAnsi="宋体" w:eastAsia="宋体" w:cs="宋体"/>
          <w:i w:val="0"/>
          <w:iCs w:val="0"/>
          <w:caps w:val="0"/>
          <w:color w:val="auto"/>
          <w:spacing w:val="0"/>
          <w:sz w:val="32"/>
          <w:szCs w:val="32"/>
          <w:shd w:val="clear" w:color="auto" w:fill="FFFFFF"/>
          <w:lang w:val="en-US" w:eastAsia="zh-CN"/>
        </w:rPr>
        <w:t>积极参与线上线下各类学习培训，积极对接上级部门，遇到问题及时请教咨询，确保信息公开时效性；三是继续</w:t>
      </w:r>
      <w:r>
        <w:rPr>
          <w:rFonts w:hint="eastAsia" w:ascii="宋体" w:hAnsi="宋体" w:eastAsia="宋体" w:cs="宋体"/>
          <w:i w:val="0"/>
          <w:iCs w:val="0"/>
          <w:caps w:val="0"/>
          <w:color w:val="auto"/>
          <w:spacing w:val="0"/>
          <w:sz w:val="32"/>
          <w:szCs w:val="32"/>
          <w:shd w:val="clear" w:color="auto" w:fill="FFFFFF"/>
          <w:lang w:eastAsia="zh-CN"/>
        </w:rPr>
        <w:t>开展“固定开放月”活动</w:t>
      </w:r>
      <w:r>
        <w:rPr>
          <w:rFonts w:hint="eastAsia" w:ascii="宋体" w:hAnsi="宋体" w:eastAsia="宋体" w:cs="宋体"/>
          <w:i w:val="0"/>
          <w:iCs w:val="0"/>
          <w:caps w:val="0"/>
          <w:color w:val="auto"/>
          <w:spacing w:val="0"/>
          <w:sz w:val="32"/>
          <w:szCs w:val="32"/>
          <w:shd w:val="clear" w:color="auto" w:fill="FFFFFF"/>
          <w:lang w:val="en-US" w:eastAsia="zh-CN"/>
        </w:rPr>
        <w:t>，让群众知晓信息公开流程，积极收集群众意见，拓宽信息公开覆盖面。</w:t>
      </w:r>
    </w:p>
    <w:p w14:paraId="3F76618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六、其他需要报告的事项</w:t>
      </w:r>
    </w:p>
    <w:p w14:paraId="45D1BF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rPr>
      </w:pPr>
      <w:r>
        <w:rPr>
          <w:rFonts w:hint="eastAsia" w:ascii="宋体" w:hAnsi="宋体" w:eastAsia="宋体" w:cs="宋体"/>
          <w:i w:val="0"/>
          <w:iCs w:val="0"/>
          <w:caps w:val="0"/>
          <w:color w:val="auto"/>
          <w:spacing w:val="0"/>
          <w:sz w:val="32"/>
          <w:szCs w:val="32"/>
          <w:shd w:val="clear" w:color="auto" w:fill="FFFFFF"/>
          <w:lang w:val="en-US" w:eastAsia="zh-CN"/>
        </w:rPr>
        <w:t>2025年度，我镇无收取信息处理费情况。</w:t>
      </w:r>
    </w:p>
    <w:p w14:paraId="6429384C">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Borders>
        <w:top w:val="none" w:sz="0" w:space="0"/>
        <w:left w:val="none" w:sz="0" w:space="0"/>
        <w:bottom w:val="none" w:sz="0" w:space="0"/>
        <w:right w:val="none" w:sz="0" w:space="0"/>
      </w:pgBorders>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54808">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B7ECEB">
                          <w:pPr>
                            <w:pStyle w:val="3"/>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5B7ECEB">
                    <w:pPr>
                      <w:pStyle w:val="3"/>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1B964">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08996">
    <w:pPr>
      <w:pStyle w:val="3"/>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E1E2C7">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4E1E2C7">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1E6BB">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E405">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09592">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83D74"/>
    <w:multiLevelType w:val="singleLevel"/>
    <w:tmpl w:val="AA983D74"/>
    <w:lvl w:ilvl="0" w:tentative="0">
      <w:start w:val="1"/>
      <w:numFmt w:val="chineseCounting"/>
      <w:suff w:val="nothing"/>
      <w:lvlText w:val="%1、"/>
      <w:lvlJc w:val="left"/>
      <w:rPr>
        <w:rFonts w:hint="eastAsia"/>
      </w:rPr>
    </w:lvl>
  </w:abstractNum>
  <w:abstractNum w:abstractNumId="1">
    <w:nsid w:val="0EEC76EE"/>
    <w:multiLevelType w:val="singleLevel"/>
    <w:tmpl w:val="0EEC76E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ZjMyMTBkY2M3NmQwYWVmMzVjYTdkMmE5MmRiMWUifQ=="/>
  </w:docVars>
  <w:rsids>
    <w:rsidRoot w:val="1A5811E8"/>
    <w:rsid w:val="0158167D"/>
    <w:rsid w:val="02161DDD"/>
    <w:rsid w:val="087A664E"/>
    <w:rsid w:val="09E66DCB"/>
    <w:rsid w:val="0B544AF8"/>
    <w:rsid w:val="0CD52552"/>
    <w:rsid w:val="0E606BBD"/>
    <w:rsid w:val="0FE43B51"/>
    <w:rsid w:val="154F2B4A"/>
    <w:rsid w:val="16545BDD"/>
    <w:rsid w:val="16C23ECA"/>
    <w:rsid w:val="18315BE9"/>
    <w:rsid w:val="1A5811E8"/>
    <w:rsid w:val="1AD31D3E"/>
    <w:rsid w:val="1D623DC5"/>
    <w:rsid w:val="1F2549A5"/>
    <w:rsid w:val="1FCB7065"/>
    <w:rsid w:val="228523DB"/>
    <w:rsid w:val="25A655E2"/>
    <w:rsid w:val="268A3AF3"/>
    <w:rsid w:val="27D7484C"/>
    <w:rsid w:val="2D5D7EB2"/>
    <w:rsid w:val="30D37F39"/>
    <w:rsid w:val="33CC4759"/>
    <w:rsid w:val="3621472C"/>
    <w:rsid w:val="3677705B"/>
    <w:rsid w:val="3728666B"/>
    <w:rsid w:val="379108E4"/>
    <w:rsid w:val="39E519D2"/>
    <w:rsid w:val="3BEB3E33"/>
    <w:rsid w:val="3E28404F"/>
    <w:rsid w:val="41C11B4F"/>
    <w:rsid w:val="462C207A"/>
    <w:rsid w:val="473D65F2"/>
    <w:rsid w:val="4B7305B4"/>
    <w:rsid w:val="50A32F39"/>
    <w:rsid w:val="51383D23"/>
    <w:rsid w:val="52E1093B"/>
    <w:rsid w:val="56180C0B"/>
    <w:rsid w:val="56B934B6"/>
    <w:rsid w:val="59C93ECC"/>
    <w:rsid w:val="5B4B2442"/>
    <w:rsid w:val="5F2C2272"/>
    <w:rsid w:val="60E23AF9"/>
    <w:rsid w:val="60EA0710"/>
    <w:rsid w:val="63772494"/>
    <w:rsid w:val="66386EBE"/>
    <w:rsid w:val="66A707DF"/>
    <w:rsid w:val="73E3206A"/>
    <w:rsid w:val="7530098F"/>
    <w:rsid w:val="7542133C"/>
    <w:rsid w:val="77332045"/>
    <w:rsid w:val="797C3E46"/>
    <w:rsid w:val="7CD54A38"/>
    <w:rsid w:val="7E607AEB"/>
    <w:rsid w:val="7FA16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7">
    <w:name w:val="样式 行距: 固定值 28.9 磅"/>
    <w:basedOn w:val="1"/>
    <w:autoRedefine/>
    <w:unhideWhenUsed/>
    <w:qFormat/>
    <w:uiPriority w:val="0"/>
    <w:pPr>
      <w:spacing w:line="578" w:lineRule="exact"/>
    </w:pPr>
    <w:rPr>
      <w:rFonts w:hint="eastAsia" w:cs="宋体"/>
      <w:sz w:val="21"/>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2204</Words>
  <Characters>2254</Characters>
  <Lines>0</Lines>
  <Paragraphs>0</Paragraphs>
  <TotalTime>16</TotalTime>
  <ScaleCrop>false</ScaleCrop>
  <LinksUpToDate>false</LinksUpToDate>
  <CharactersWithSpaces>2277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俊奈</cp:lastModifiedBy>
  <cp:lastPrinted>2025-01-03T06:45:00Z</cp:lastPrinted>
  <dcterms:modified xsi:type="dcterms:W3CDTF">2025-12-11T04:02:08Z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8E01FDA88065427DB1C84B8D39D2976B_13</vt:lpwstr>
  </property>
  <property fmtid="{D5CDD505-2E9C-101B-9397-08002B2CF9AE}" pid="4" name="KSOTemplateDocerSaveRecord">
    <vt:lpwstr>eyJoZGlkIjoiN2NlMzQ5OWFiNDRjZGNjNzY0MDU1NWE1MDFkYmJkYmMiLCJ1c2VySWQiOiIyODA2MTg5MzYifQ==</vt:lpwstr>
  </property>
</Properties>
</file>